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val="on"/>
        <w:widowControl w:val="on"/>
        <w:pBdr/>
        <w:spacing w:before="0" w:after="322" w:line="240" w:lineRule="auto"/>
        <w:ind w:left="0" w:right="0"/>
        <w:jc w:val="left"/>
        <w:outlineLvl w:val="0"/>
      </w:pPr>
      <w:r>
        <w:rPr>
          <w:b/>
          <w:color w:val="000000"/>
          <w:sz w:val="48"/>
          <w:szCs w:val="48"/>
        </w:rPr>
        <w:t xml:space="preserve">Jack Henry Abbott Biography</w:t>
      </w:r>
    </w:p>
    <w:p>
      <w:pPr>
        <w:keepNext w:val="on"/>
        <w:widowControl w:val="on"/>
        <w:pBdr/>
        <w:spacing w:before="299" w:after="299" w:line="240" w:lineRule="auto"/>
        <w:ind w:left="0" w:right="0"/>
        <w:jc w:val="left"/>
        <w:outlineLvl w:val="1"/>
      </w:pPr>
      <w:r>
        <w:rPr>
          <w:b/>
          <w:color w:val="000000"/>
          <w:sz w:val="36"/>
          <w:szCs w:val="36"/>
        </w:rPr>
        <w:t xml:space="preserve">Jack Henry Abbott</w:t>
      </w:r>
    </w:p>
    <w:p>
      <w:pPr>
        <w:widowControl w:val="on"/>
        <w:pBdr/>
        <w:spacing w:before="240" w:after="240" w:line="240" w:lineRule="auto"/>
        <w:ind w:left="0" w:right="0"/>
        <w:jc w:val="left"/>
      </w:pPr>
      <w:r>
        <w:rPr>
          <w:color w:val="000000"/>
          <w:sz w:val="24"/>
          <w:szCs w:val="24"/>
        </w:rPr>
        <w:t xml:space="preserve">The following sections of this BookRags Literature Study Guide is offprint from Gale's For Students Series: Presenting Analysis, Context, and Criticism on Commonly Studied Works: Introduction, Author Biography, Plot Summary, Characters, Themes, Style, Historical Context, Critical Overview, Criticism and Critical Essays, Media Adaptations, Topics for Further Study, Compare &amp; Contrast, What Do I Read Next?, For Further Study, and Sources.</w:t>
      </w:r>
    </w:p>
    <w:p>
      <w:pPr>
        <w:widowControl w:val="on"/>
        <w:pBdr/>
        <w:spacing w:before="240" w:after="240" w:line="240" w:lineRule="auto"/>
        <w:ind w:left="0" w:right="0"/>
        <w:jc w:val="left"/>
      </w:pPr>
      <w:r>
        <w:rPr>
          <w:color w:val="000000"/>
          <w:sz w:val="24"/>
          <w:szCs w:val="24"/>
        </w:rPr>
        <w:t xml:space="preserve">(c)1998-2002; (c)2002 by Gale. Gale is an imprint of The Gale Group, Inc., a division of Thomson Learning, Inc. Gale and Design and Thomson Learning are trademarks used herein under license.</w:t>
      </w:r>
    </w:p>
    <w:p>
      <w:pPr>
        <w:widowControl w:val="on"/>
        <w:pBdr/>
        <w:spacing w:before="240" w:after="240" w:line="240" w:lineRule="auto"/>
        <w:ind w:left="0" w:right="0"/>
        <w:jc w:val="left"/>
      </w:pPr>
      <w:r>
        <w:rPr>
          <w:color w:val="000000"/>
          <w:sz w:val="24"/>
          <w:szCs w:val="24"/>
        </w:rPr>
        <w:t xml:space="preserve">The following sections, if they exist, are offprint from Beacham's Encyclopedia of Popular Fiction: "Social Concerns", "Thematic Overview", "Techniques", "Literary Precedents", "Key Questions", "Related Titles", "Adaptations", "Related Web Sites". (c)1994-2005, by Walton Beacham.</w:t>
      </w:r>
    </w:p>
    <w:p>
      <w:pPr>
        <w:widowControl w:val="on"/>
        <w:pBdr/>
        <w:spacing w:before="240" w:after="240" w:line="240" w:lineRule="auto"/>
        <w:ind w:left="0" w:right="0"/>
        <w:jc w:val="left"/>
      </w:pPr>
      <w:r>
        <w:rPr>
          <w:color w:val="000000"/>
          <w:sz w:val="24"/>
          <w:szCs w:val="24"/>
        </w:rPr>
        <w:t xml:space="preserve">The following sections, if they exist, are offprint from Beacham's Guide to Literature for Young Adults: "About the Author", "Overview", "Setting", "Literary Qualities", "Social Sensitivity", "Topics for Discussion", "Ideas for Reports and Papers". (c)1994-2005, by Walton Beacham.</w:t>
      </w:r>
    </w:p>
    <w:p>
      <w:pPr>
        <w:widowControl w:val="on"/>
        <w:pBdr/>
        <w:spacing w:before="240" w:after="240" w:line="240" w:lineRule="auto"/>
        <w:ind w:left="0" w:right="0"/>
        <w:jc w:val="left"/>
      </w:pPr>
      <w:r>
        <w:rPr>
          <w:color w:val="000000"/>
          <w:sz w:val="24"/>
          <w:szCs w:val="24"/>
        </w:rPr>
        <w:t xml:space="preserve">All other sections in this Literature Study Guide are owned and copyrighted by BookRags, Inc.</w:t>
      </w:r>
    </w:p>
    <w:p>
      <w:pPr>
        <w:keepNext w:val="on"/>
        <w:pageBreakBefore w:val="on"/>
        <w:widowControl w:val="on"/>
        <w:pBdr/>
        <w:spacing w:before="0" w:after="322" w:line="240" w:lineRule="auto"/>
        <w:ind w:left="0" w:right="0"/>
        <w:jc w:val="left"/>
        <w:outlineLvl w:val="0"/>
      </w:pPr>
      <w:r>
        <w:rPr>
          <w:b/>
          <w:color w:val="000000"/>
          <w:sz w:val="48"/>
          <w:szCs w:val="48"/>
        </w:rPr>
        <w:t xml:space="preserve">Contents</w:t>
      </w:r>
    </w:p>
    <w:sdt>
      <w:stdPr>
        <w:id w:val="369802115"/>
        <w:docPartObj>
          <w:docPartGallery w:val="Table of Contents"/>
          <w:docPartUnique/>
        </w:docPartObj>
      </w:stdPr>
      <w:sdtContent>
        <w:p xmlns:w="http://schemas.openxmlformats.org/wordprocessingml/2006/main">
          <w:fldSimple w:instr="TOC \o &quot;1-1&quot; \h \z \u">
            <w:r>
              <w:rPr>
                <w:i/>
              </w:rPr>
              <w:t>This table of contents needs to be updated</w:t>
            </w:r>
          </w:fldSimple>
        </w:p>
      </w:sdtContent>
    </w:sdt>
    <w:p>
      <w:pPr>
        <w:keepNext w:val="on"/>
        <w:pageBreakBefore w:val="on"/>
        <w:widowControl w:val="on"/>
        <w:pBdr/>
        <w:spacing w:before="0" w:after="322" w:line="240" w:lineRule="auto"/>
        <w:ind w:left="0" w:right="0"/>
        <w:jc w:val="left"/>
        <w:outlineLvl w:val="0"/>
      </w:pPr>
      <w:r>
        <w:rPr>
          <w:b/>
          <w:color w:val="000000"/>
          <w:sz w:val="48"/>
          <w:szCs w:val="48"/>
        </w:rPr>
        <w:t xml:space="preserve">Biography</w:t>
      </w:r>
    </w:p>
    <w:p>
      <w:pPr>
        <w:widowControl w:val="on"/>
        <w:pBdr/>
        <w:spacing w:before="240" w:after="240" w:line="240" w:lineRule="auto"/>
        <w:ind w:left="0" w:right="0"/>
        <w:jc w:val="left"/>
      </w:pPr>
      <w:r>
        <w:rPr>
          <w:color w:val="000000"/>
          <w:sz w:val="24"/>
          <w:szCs w:val="24"/>
        </w:rPr>
        <w:t xml:space="preserve">Jack Henry Abbott is a convicted murderer who, upon winning parole through the efforts of author Norman Mailer, murdered another man one month later. Abbott's own collected writings, </w:t>
      </w:r>
      <w:r>
        <w:rPr>
          <w:i/>
          <w:color w:val="000000"/>
          <w:sz w:val="24"/>
          <w:szCs w:val="24"/>
        </w:rPr>
        <w:t xml:space="preserve">In the Belly of the Beast</w:t>
      </w:r>
      <w:r>
        <w:rPr>
          <w:color w:val="000000"/>
          <w:sz w:val="24"/>
          <w:szCs w:val="24"/>
        </w:rPr>
        <w:t xml:space="preserve">, were later discounted by many as unreliable overdramatizations of his prison experiences. Due to a lengthy string of violent criminal acts, Abbott spent only ten months between the ages of 12 to 37 as a free man. His prison records indicated numerous violent incidents, including stabbing a physician who was stitching him up from a previous altercation and jumping from the witness stand into the jury box to grab the throat of a juror.</w:t>
      </w:r>
    </w:p>
    <w:p>
      <w:pPr>
        <w:widowControl w:val="on"/>
        <w:pBdr/>
        <w:spacing w:before="240" w:after="240" w:line="240" w:lineRule="auto"/>
        <w:ind w:left="0" w:right="0"/>
        <w:jc w:val="left"/>
      </w:pPr>
      <w:r>
        <w:rPr>
          <w:color w:val="000000"/>
          <w:sz w:val="24"/>
          <w:szCs w:val="24"/>
        </w:rPr>
        <w:t xml:space="preserve">However, Abbott's true notoriety came later. While researching his book </w:t>
      </w:r>
      <w:r>
        <w:rPr>
          <w:i/>
          <w:color w:val="000000"/>
          <w:sz w:val="24"/>
          <w:szCs w:val="24"/>
        </w:rPr>
        <w:t xml:space="preserve">The Executioner's Song</w:t>
      </w:r>
      <w:r>
        <w:rPr>
          <w:color w:val="000000"/>
          <w:sz w:val="24"/>
          <w:szCs w:val="24"/>
        </w:rPr>
        <w:t xml:space="preserve">, about convicted murderer Gary Gilmore, Mailer began receiving eloquent letters from Abbott. Mailer convinced Random House to publish some of them, and also began championing Abbott's prison release, even testifying before the Utah Board of Corrections that Abbott had "the makings of a powerful and important American writer." Impressed, the Board granted Abbott an early release in 1981. A few weeks later, Abbott was dining at a restaurant in New York when he asked the waiter where the restroom was. Taken to the alley by the waiter, Abbott stabbed him to death, claiming that the waiter was going to attack him. He was sentenced to 15 years to life, and published a second book, </w:t>
      </w:r>
      <w:r>
        <w:rPr>
          <w:i/>
          <w:color w:val="000000"/>
          <w:sz w:val="24"/>
          <w:szCs w:val="24"/>
        </w:rPr>
        <w:t xml:space="preserve">My Return</w:t>
      </w:r>
      <w:r>
        <w:rPr>
          <w:color w:val="000000"/>
          <w:sz w:val="24"/>
          <w:szCs w:val="24"/>
        </w:rPr>
        <w:t xml:space="preserve"> in 1987.</w:t>
      </w:r>
    </w:p>
    <w:sectPr w:rsidR="00FA6635" w:rsidRPr="00FA6635" w:rsidSect="00213E5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CC27" w14:textId="77777777" w:rsidR="00184498" w:rsidRDefault="00184498" w:rsidP="00A8388D">
      <w:pPr>
        <w:spacing w:after="0" w:line="240" w:lineRule="auto"/>
      </w:pPr>
      <w:r>
        <w:separator/>
      </w:r>
    </w:p>
  </w:endnote>
  <w:endnote w:type="continuationSeparator" w:id="0">
    <w:p w14:paraId="78952A40" w14:textId="77777777" w:rsidR="00184498" w:rsidRDefault="00184498" w:rsidP="00A8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42412"/>
      <w:docPartObj>
        <w:docPartGallery w:val="Page Numbers (Bottom of Page)"/>
        <w:docPartUnique/>
      </w:docPartObj>
    </w:sdtPr>
    <w:sdtEndPr>
      <w:rPr>
        <w:noProof/>
      </w:rPr>
    </w:sdtEndPr>
    <w:sdtContent>
      <w:p w14:paraId="0B166803" w14:textId="77777777" w:rsidR="00084080" w:rsidRDefault="00084080" w:rsidP="00084080">
        <w:pPr>
          <w:pStyle w:val="Footer"/>
          <w:jc w:val="center"/>
        </w:pPr>
        <w:r>
          <w:fldChar w:fldCharType="begin"/>
        </w:r>
        <w:r>
          <w:instrText xml:space="preserve"> PAGE   \* MERGEFORMAT </w:instrText>
        </w:r>
        <w:r>
          <w:fldChar w:fldCharType="separate"/>
        </w:r>
        <w:r w:rsidR="00CF425D">
          <w:rPr>
            <w:noProof/>
          </w:rPr>
          <w:t>2</w:t>
        </w:r>
        <w:r>
          <w:rPr>
            <w:noProof/>
          </w:rPr>
          <w:fldChar w:fldCharType="end"/>
        </w:r>
      </w:p>
    </w:sdtContent>
  </w:sdt>
  <w:p w14:paraId="75A104E4" w14:textId="77777777" w:rsidR="00084080" w:rsidRDefault="00084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E0CE" w14:textId="77777777" w:rsidR="00184498" w:rsidRDefault="00184498" w:rsidP="00A8388D">
      <w:pPr>
        <w:spacing w:after="0" w:line="240" w:lineRule="auto"/>
      </w:pPr>
      <w:r>
        <w:separator/>
      </w:r>
    </w:p>
  </w:footnote>
  <w:footnote w:type="continuationSeparator" w:id="0">
    <w:p w14:paraId="640EA017" w14:textId="77777777" w:rsidR="00184498" w:rsidRDefault="00184498" w:rsidP="00A838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9D1" w14:textId="77777777" w:rsidR="00084080" w:rsidRDefault="00FA3DD9">
    <w:pPr>
      <w:pStyle w:val="Header"/>
    </w:pPr>
    <w:r>
      <w:rPr>
        <w:noProof/>
      </w:rPr>
      <w:drawing>
        <wp:anchor distT="0" distB="0" distL="114300" distR="114300" simplePos="0" relativeHeight="251659264" behindDoc="0" locked="0" layoutInCell="1" allowOverlap="1" wp14:anchorId="0B81C964" wp14:editId="0D17A55F">
          <wp:simplePos x="0" y="0"/>
          <wp:positionH relativeFrom="column">
            <wp:posOffset>-685800</wp:posOffset>
          </wp:positionH>
          <wp:positionV relativeFrom="paragraph">
            <wp:posOffset>-228600</wp:posOffset>
          </wp:positionV>
          <wp:extent cx="1907381"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381"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817244">
    <w:multiLevelType w:val="hybridMultilevel"/>
    <w:lvl w:ilvl="0" w:tplc="901169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9817244">
    <w:abstractNumId w:val="398172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28"/>
    <w:rsid w:val="00003DE8"/>
    <w:rsid w:val="000254D2"/>
    <w:rsid w:val="00084080"/>
    <w:rsid w:val="00117ED7"/>
    <w:rsid w:val="00176228"/>
    <w:rsid w:val="00184498"/>
    <w:rsid w:val="00213E50"/>
    <w:rsid w:val="00274F1F"/>
    <w:rsid w:val="003577FE"/>
    <w:rsid w:val="00373AFC"/>
    <w:rsid w:val="004748B2"/>
    <w:rsid w:val="00482523"/>
    <w:rsid w:val="006552AA"/>
    <w:rsid w:val="00726628"/>
    <w:rsid w:val="0075644D"/>
    <w:rsid w:val="00A735A7"/>
    <w:rsid w:val="00A8388D"/>
    <w:rsid w:val="00A8456A"/>
    <w:rsid w:val="00A92BC4"/>
    <w:rsid w:val="00B677F2"/>
    <w:rsid w:val="00BE736E"/>
    <w:rsid w:val="00C413F8"/>
    <w:rsid w:val="00CF425D"/>
    <w:rsid w:val="00E2561F"/>
    <w:rsid w:val="00E27857"/>
    <w:rsid w:val="00FA3DD9"/>
    <w:rsid w:val="00FA6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F66324"/>
  <w:updateFiel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356742285"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99CF-FB44-E149-9536-65C0BC28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BookRags, Inc.</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Wadley</dc:creator>
  <cp:keywords/>
  <dc:description/>
  <cp:lastModifiedBy>First name</cp:lastModifiedBy>
  <cp:revision>14</cp:revision>
  <dcterms:created xsi:type="dcterms:W3CDTF">2014-04-10T22:38:00Z</dcterms:created>
  <dcterms:modified xsi:type="dcterms:W3CDTF">2014-10-13T22:53:00Z</dcterms:modified>
</cp:coreProperties>
</file>